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7AF" w:rsidRDefault="003F57AF" w:rsidP="003F57AF">
      <w:p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 valid argument from </w:t>
      </w:r>
      <w:proofErr w:type="spellStart"/>
      <w:r>
        <w:rPr>
          <w:rFonts w:ascii="Times New Roman" w:eastAsia="Times New Roman" w:hAnsi="Times New Roman" w:cs="Times New Roman"/>
          <w:color w:val="0E101A"/>
          <w:sz w:val="24"/>
          <w:szCs w:val="24"/>
        </w:rPr>
        <w:t>Caroll</w:t>
      </w:r>
      <w:proofErr w:type="spellEnd"/>
      <w:r>
        <w:rPr>
          <w:rFonts w:ascii="Times New Roman" w:eastAsia="Times New Roman" w:hAnsi="Times New Roman" w:cs="Times New Roman"/>
          <w:color w:val="0E101A"/>
          <w:sz w:val="24"/>
          <w:szCs w:val="24"/>
        </w:rPr>
        <w:t>,” Nailed to Hume’s cross”</w:t>
      </w:r>
    </w:p>
    <w:p w:rsidR="003F57AF" w:rsidRDefault="003F57AF" w:rsidP="003F57AF">
      <w:pPr>
        <w:spacing w:after="0" w:line="240" w:lineRule="auto"/>
        <w:rPr>
          <w:rFonts w:ascii="Times New Roman" w:eastAsia="Times New Roman" w:hAnsi="Times New Roman" w:cs="Times New Roman"/>
          <w:color w:val="0E101A"/>
          <w:sz w:val="24"/>
          <w:szCs w:val="24"/>
        </w:rPr>
      </w:pPr>
    </w:p>
    <w:p w:rsidR="003F57AF" w:rsidRDefault="003F57AF" w:rsidP="003F57AF">
      <w:pPr>
        <w:numPr>
          <w:ilvl w:val="0"/>
          <w:numId w:val="1"/>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All events seem entirely loose and separate. One event follows another, but we never can observe any tie between them.</w:t>
      </w:r>
    </w:p>
    <w:p w:rsidR="003F57AF" w:rsidRDefault="003F57AF" w:rsidP="003F57AF">
      <w:pPr>
        <w:numPr>
          <w:ilvl w:val="0"/>
          <w:numId w:val="1"/>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They seem conjoined but never connected. Because there is nothing identical in the different instantiations of the law, such a Nominalist, it seems, is forced to hold a Regularity theory of law. For if he attempts to hold any sort of necessitation theory, then he can point to no ontological ground for the necessity. He is nailed to Hume’s cross.</w:t>
      </w:r>
    </w:p>
    <w:p w:rsidR="003F57AF" w:rsidRDefault="003F57AF" w:rsidP="003F57AF">
      <w:pPr>
        <w:numPr>
          <w:ilvl w:val="0"/>
          <w:numId w:val="1"/>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Suppose that one is a Nominalist in the classical sense of the term, one who holds that everything there is a particular.</w:t>
      </w:r>
    </w:p>
    <w:p w:rsidR="003F57AF" w:rsidRDefault="003F57AF" w:rsidP="003F57AF">
      <w:pPr>
        <w:spacing w:after="0" w:line="240" w:lineRule="auto"/>
        <w:rPr>
          <w:rFonts w:ascii="Times New Roman" w:eastAsia="Times New Roman" w:hAnsi="Times New Roman" w:cs="Times New Roman"/>
          <w:color w:val="0E101A"/>
          <w:sz w:val="24"/>
          <w:szCs w:val="24"/>
        </w:rPr>
      </w:pPr>
    </w:p>
    <w:p w:rsidR="003F57AF" w:rsidRDefault="003F57AF" w:rsidP="003F57AF">
      <w:p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valid argument is unsound</w:t>
      </w:r>
    </w:p>
    <w:p w:rsidR="003F57AF" w:rsidRDefault="003F57AF" w:rsidP="003F57AF">
      <w:pPr>
        <w:spacing w:after="0" w:line="240" w:lineRule="auto"/>
        <w:rPr>
          <w:rFonts w:ascii="Times New Roman" w:eastAsia="Times New Roman" w:hAnsi="Times New Roman" w:cs="Times New Roman"/>
          <w:color w:val="0E101A"/>
          <w:sz w:val="24"/>
          <w:szCs w:val="24"/>
        </w:rPr>
      </w:pPr>
    </w:p>
    <w:p w:rsidR="003F57AF" w:rsidRDefault="003F57AF" w:rsidP="003F57AF">
      <w:pPr>
        <w:spacing w:after="0" w:line="240" w:lineRule="auto"/>
        <w:rPr>
          <w:rFonts w:ascii="Times New Roman" w:eastAsia="Times New Roman" w:hAnsi="Times New Roman" w:cs="Times New Roman"/>
          <w:color w:val="0E101A"/>
          <w:sz w:val="24"/>
          <w:szCs w:val="24"/>
        </w:rPr>
      </w:pPr>
      <w:bookmarkStart w:id="0" w:name="_GoBack"/>
      <w:r>
        <w:rPr>
          <w:rFonts w:ascii="Times New Roman" w:eastAsia="Times New Roman" w:hAnsi="Times New Roman" w:cs="Times New Roman"/>
          <w:color w:val="0E101A"/>
          <w:sz w:val="24"/>
          <w:szCs w:val="24"/>
        </w:rPr>
        <w:t xml:space="preserve">So Premise 2 of our epistemological argument for HS is false. The contextualize maneuver might run as follows: In contexts where scientists are evaluating a law-positing theory such as T, which is well-supported according to the ordinary standards of scientific inference, alternatives such as T* which differ from T only in that they call one or more laws posited by T* </w:t>
      </w:r>
      <w:proofErr w:type="spellStart"/>
      <w:r>
        <w:rPr>
          <w:rFonts w:ascii="Times New Roman" w:eastAsia="Times New Roman" w:hAnsi="Times New Roman" w:cs="Times New Roman"/>
          <w:color w:val="0E101A"/>
          <w:sz w:val="24"/>
          <w:szCs w:val="24"/>
        </w:rPr>
        <w:t>nomologically</w:t>
      </w:r>
      <w:proofErr w:type="spellEnd"/>
      <w:r>
        <w:rPr>
          <w:rFonts w:ascii="Times New Roman" w:eastAsia="Times New Roman" w:hAnsi="Times New Roman" w:cs="Times New Roman"/>
          <w:color w:val="0E101A"/>
          <w:sz w:val="24"/>
          <w:szCs w:val="24"/>
        </w:rPr>
        <w:t xml:space="preserve"> contingent, are not relevant alternatives. Hence, it is not necessary, in order to be justified in believing T, to have evidence that favors T over T*. Therefore past consistency of gravitational conduct calls for some clarification.</w:t>
      </w:r>
    </w:p>
    <w:p w:rsidR="003F57AF" w:rsidRDefault="003F57AF" w:rsidP="003F57AF"/>
    <w:bookmarkEnd w:id="0"/>
    <w:p w:rsidR="00C421A5" w:rsidRDefault="003F57AF"/>
    <w:sectPr w:rsidR="00C42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8778F6"/>
    <w:multiLevelType w:val="multilevel"/>
    <w:tmpl w:val="9CB2D2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7AF"/>
    <w:rsid w:val="0003773E"/>
    <w:rsid w:val="0016528D"/>
    <w:rsid w:val="003F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270FB-F9A8-4A88-B94C-4DE4CA10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7A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2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2020-11-08T21:16:00Z</dcterms:created>
  <dcterms:modified xsi:type="dcterms:W3CDTF">2020-11-08T21:18:00Z</dcterms:modified>
</cp:coreProperties>
</file>